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FE14B" w14:textId="77777777" w:rsidR="00971F88" w:rsidRPr="00971F88" w:rsidRDefault="00971F88" w:rsidP="00971F88">
      <w:pPr>
        <w:numPr>
          <w:ilvl w:val="0"/>
          <w:numId w:val="4"/>
        </w:numPr>
        <w:rPr>
          <w:rFonts w:ascii="Bookman Old Style" w:hAnsi="Bookman Old Style"/>
        </w:rPr>
      </w:pPr>
      <w:r w:rsidRPr="00971F88">
        <w:rPr>
          <w:rFonts w:ascii="Bookman Old Style" w:hAnsi="Bookman Old Style"/>
          <w:b/>
          <w:bCs/>
        </w:rPr>
        <w:t>Inclusion of “virtual patching” technology in the EDR tender for both servers and EPP.</w:t>
      </w:r>
    </w:p>
    <w:p w14:paraId="34C2BA29" w14:textId="77777777" w:rsidR="00971F88" w:rsidRPr="00971F88" w:rsidRDefault="00971F88" w:rsidP="00971F88">
      <w:pPr>
        <w:rPr>
          <w:rFonts w:ascii="Bookman Old Style" w:hAnsi="Bookman Old Style"/>
        </w:rPr>
      </w:pPr>
      <w:r w:rsidRPr="00971F88">
        <w:rPr>
          <w:rFonts w:ascii="Bookman Old Style" w:hAnsi="Bookman Old Style"/>
        </w:rPr>
        <w:t>Response: </w:t>
      </w:r>
    </w:p>
    <w:p w14:paraId="2D6C8E6A" w14:textId="77777777" w:rsidR="00971F88" w:rsidRPr="00971F88" w:rsidRDefault="00971F88" w:rsidP="00971F88">
      <w:pPr>
        <w:rPr>
          <w:rFonts w:ascii="Bookman Old Style" w:hAnsi="Bookman Old Style"/>
        </w:rPr>
      </w:pPr>
      <w:r w:rsidRPr="00971F88">
        <w:rPr>
          <w:rFonts w:ascii="Bookman Old Style" w:hAnsi="Bookman Old Style"/>
        </w:rPr>
        <w:t>Virtual patching is not universally available in all EDR solutions and by mentioning that in tender we are limiting the broader range of EDR solutions to participate. Vendors offering this capability will receive additional consideration, but its absence will not disqualify a solution. Therefore, Virtual patching will be treated as a value-added feature rather than a strict requirement.</w:t>
      </w:r>
    </w:p>
    <w:p w14:paraId="38A031FB" w14:textId="77777777" w:rsidR="00971F88" w:rsidRPr="00971F88" w:rsidRDefault="00971F88" w:rsidP="00971F88">
      <w:pPr>
        <w:numPr>
          <w:ilvl w:val="0"/>
          <w:numId w:val="5"/>
        </w:numPr>
        <w:rPr>
          <w:rFonts w:ascii="Bookman Old Style" w:hAnsi="Bookman Old Style"/>
        </w:rPr>
      </w:pPr>
      <w:r w:rsidRPr="00971F88">
        <w:rPr>
          <w:rFonts w:ascii="Bookman Old Style" w:hAnsi="Bookman Old Style"/>
          <w:b/>
          <w:bCs/>
        </w:rPr>
        <w:t>2. Total number of servers and endpoints to be declared</w:t>
      </w:r>
      <w:r w:rsidRPr="00971F88">
        <w:rPr>
          <w:rFonts w:ascii="Bookman Old Style" w:hAnsi="Bookman Old Style"/>
        </w:rPr>
        <w:t>.</w:t>
      </w:r>
    </w:p>
    <w:p w14:paraId="74AA29DF" w14:textId="77777777" w:rsidR="00971F88" w:rsidRPr="00971F88" w:rsidRDefault="00971F88" w:rsidP="00971F88">
      <w:pPr>
        <w:rPr>
          <w:rFonts w:ascii="Bookman Old Style" w:hAnsi="Bookman Old Style"/>
        </w:rPr>
      </w:pPr>
      <w:r w:rsidRPr="00971F88">
        <w:rPr>
          <w:rFonts w:ascii="Bookman Old Style" w:hAnsi="Bookman Old Style"/>
        </w:rPr>
        <w:t>Response:</w:t>
      </w:r>
    </w:p>
    <w:tbl>
      <w:tblPr>
        <w:tblW w:w="0" w:type="auto"/>
        <w:tblInd w:w="720" w:type="dxa"/>
        <w:shd w:val="clear" w:color="auto" w:fill="FFFFFF"/>
        <w:tblCellMar>
          <w:left w:w="0" w:type="dxa"/>
          <w:right w:w="0" w:type="dxa"/>
        </w:tblCellMar>
        <w:tblLook w:val="04A0" w:firstRow="1" w:lastRow="0" w:firstColumn="1" w:lastColumn="0" w:noHBand="0" w:noVBand="1"/>
      </w:tblPr>
      <w:tblGrid>
        <w:gridCol w:w="409"/>
        <w:gridCol w:w="1560"/>
        <w:gridCol w:w="1417"/>
      </w:tblGrid>
      <w:tr w:rsidR="00971F88" w:rsidRPr="00971F88" w14:paraId="59750FB5" w14:textId="77777777" w:rsidTr="00971F88">
        <w:trPr>
          <w:trHeight w:val="340"/>
        </w:trPr>
        <w:tc>
          <w:tcPr>
            <w:tcW w:w="4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1538FD" w14:textId="77777777" w:rsidR="00971F88" w:rsidRPr="00971F88" w:rsidRDefault="00971F88" w:rsidP="00971F88">
            <w:pPr>
              <w:rPr>
                <w:rFonts w:ascii="Bookman Old Style" w:hAnsi="Bookman Old Style"/>
              </w:rPr>
            </w:pPr>
            <w:r w:rsidRPr="00971F88">
              <w:rPr>
                <w:rFonts w:ascii="Bookman Old Style" w:hAnsi="Bookman Old Style"/>
              </w:rPr>
              <w:t> </w:t>
            </w:r>
          </w:p>
        </w:tc>
        <w:tc>
          <w:tcPr>
            <w:tcW w:w="156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3807D2" w14:textId="77777777" w:rsidR="00971F88" w:rsidRPr="00971F88" w:rsidRDefault="00971F88" w:rsidP="00971F88">
            <w:pPr>
              <w:rPr>
                <w:rFonts w:ascii="Bookman Old Style" w:hAnsi="Bookman Old Style"/>
              </w:rPr>
            </w:pPr>
            <w:r w:rsidRPr="00971F88">
              <w:rPr>
                <w:rFonts w:ascii="Bookman Old Style" w:hAnsi="Bookman Old Style"/>
                <w:b/>
                <w:bCs/>
              </w:rPr>
              <w:t>Asset type</w:t>
            </w:r>
          </w:p>
        </w:tc>
        <w:tc>
          <w:tcPr>
            <w:tcW w:w="1417"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90C8D2" w14:textId="77777777" w:rsidR="00971F88" w:rsidRPr="00971F88" w:rsidRDefault="00971F88" w:rsidP="00971F88">
            <w:pPr>
              <w:rPr>
                <w:rFonts w:ascii="Bookman Old Style" w:hAnsi="Bookman Old Style"/>
              </w:rPr>
            </w:pPr>
            <w:r w:rsidRPr="00971F88">
              <w:rPr>
                <w:rFonts w:ascii="Bookman Old Style" w:hAnsi="Bookman Old Style"/>
                <w:b/>
                <w:bCs/>
              </w:rPr>
              <w:t>Quantity</w:t>
            </w:r>
          </w:p>
        </w:tc>
      </w:tr>
      <w:tr w:rsidR="00971F88" w:rsidRPr="00971F88" w14:paraId="1E5C24DB" w14:textId="77777777" w:rsidTr="00971F88">
        <w:trPr>
          <w:trHeight w:val="340"/>
        </w:trPr>
        <w:tc>
          <w:tcPr>
            <w:tcW w:w="409"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E8707C" w14:textId="77777777" w:rsidR="00971F88" w:rsidRPr="00971F88" w:rsidRDefault="00971F88" w:rsidP="00971F88">
            <w:pPr>
              <w:rPr>
                <w:rFonts w:ascii="Bookman Old Style" w:hAnsi="Bookman Old Style"/>
              </w:rPr>
            </w:pPr>
            <w:r w:rsidRPr="00971F88">
              <w:rPr>
                <w:rFonts w:ascii="Bookman Old Style" w:hAnsi="Bookman Old Style"/>
              </w:rPr>
              <w:t>1</w:t>
            </w:r>
          </w:p>
        </w:tc>
        <w:tc>
          <w:tcPr>
            <w:tcW w:w="156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2304E2A" w14:textId="77777777" w:rsidR="00971F88" w:rsidRPr="00971F88" w:rsidRDefault="00971F88" w:rsidP="00971F88">
            <w:pPr>
              <w:rPr>
                <w:rFonts w:ascii="Bookman Old Style" w:hAnsi="Bookman Old Style"/>
              </w:rPr>
            </w:pPr>
            <w:r w:rsidRPr="00971F88">
              <w:rPr>
                <w:rFonts w:ascii="Bookman Old Style" w:hAnsi="Bookman Old Style"/>
              </w:rPr>
              <w:t>Servers</w:t>
            </w:r>
          </w:p>
        </w:tc>
        <w:tc>
          <w:tcPr>
            <w:tcW w:w="1417"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2338AAE" w14:textId="77777777" w:rsidR="00971F88" w:rsidRPr="00971F88" w:rsidRDefault="00971F88" w:rsidP="00971F88">
            <w:pPr>
              <w:rPr>
                <w:rFonts w:ascii="Bookman Old Style" w:hAnsi="Bookman Old Style"/>
              </w:rPr>
            </w:pPr>
            <w:r w:rsidRPr="00971F88">
              <w:rPr>
                <w:rFonts w:ascii="Bookman Old Style" w:hAnsi="Bookman Old Style"/>
              </w:rPr>
              <w:t>15</w:t>
            </w:r>
          </w:p>
        </w:tc>
      </w:tr>
      <w:tr w:rsidR="00971F88" w:rsidRPr="00971F88" w14:paraId="1C7FA3C4" w14:textId="77777777" w:rsidTr="00971F88">
        <w:trPr>
          <w:trHeight w:val="340"/>
        </w:trPr>
        <w:tc>
          <w:tcPr>
            <w:tcW w:w="409"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FEB1C3" w14:textId="77777777" w:rsidR="00971F88" w:rsidRPr="00971F88" w:rsidRDefault="00971F88" w:rsidP="00971F88">
            <w:pPr>
              <w:rPr>
                <w:rFonts w:ascii="Bookman Old Style" w:hAnsi="Bookman Old Style"/>
              </w:rPr>
            </w:pPr>
            <w:r w:rsidRPr="00971F88">
              <w:rPr>
                <w:rFonts w:ascii="Bookman Old Style" w:hAnsi="Bookman Old Style"/>
              </w:rPr>
              <w:t>2</w:t>
            </w:r>
          </w:p>
        </w:tc>
        <w:tc>
          <w:tcPr>
            <w:tcW w:w="156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8F65543" w14:textId="77777777" w:rsidR="00971F88" w:rsidRPr="00971F88" w:rsidRDefault="00971F88" w:rsidP="00971F88">
            <w:pPr>
              <w:rPr>
                <w:rFonts w:ascii="Bookman Old Style" w:hAnsi="Bookman Old Style"/>
              </w:rPr>
            </w:pPr>
            <w:r w:rsidRPr="00971F88">
              <w:rPr>
                <w:rFonts w:ascii="Bookman Old Style" w:hAnsi="Bookman Old Style"/>
              </w:rPr>
              <w:t>Endpoints</w:t>
            </w:r>
          </w:p>
        </w:tc>
        <w:tc>
          <w:tcPr>
            <w:tcW w:w="1417" w:type="dxa"/>
            <w:tcBorders>
              <w:bottom w:val="single" w:sz="8" w:space="0" w:color="auto"/>
              <w:right w:val="single" w:sz="8" w:space="0" w:color="auto"/>
            </w:tcBorders>
            <w:shd w:val="clear" w:color="auto" w:fill="FFFFFF"/>
            <w:tcMar>
              <w:top w:w="0" w:type="dxa"/>
              <w:left w:w="108" w:type="dxa"/>
              <w:bottom w:w="0" w:type="dxa"/>
              <w:right w:w="108" w:type="dxa"/>
            </w:tcMar>
            <w:hideMark/>
          </w:tcPr>
          <w:p w14:paraId="1D31D9DD" w14:textId="77777777" w:rsidR="00971F88" w:rsidRPr="00971F88" w:rsidRDefault="00971F88" w:rsidP="00971F88">
            <w:pPr>
              <w:rPr>
                <w:rFonts w:ascii="Bookman Old Style" w:hAnsi="Bookman Old Style"/>
              </w:rPr>
            </w:pPr>
            <w:r w:rsidRPr="00971F88">
              <w:rPr>
                <w:rFonts w:ascii="Bookman Old Style" w:hAnsi="Bookman Old Style"/>
              </w:rPr>
              <w:t>415</w:t>
            </w:r>
          </w:p>
        </w:tc>
      </w:tr>
    </w:tbl>
    <w:p w14:paraId="67BA5DAF" w14:textId="77777777" w:rsidR="00971F88" w:rsidRPr="00971F88" w:rsidRDefault="00971F88" w:rsidP="00971F88">
      <w:pPr>
        <w:rPr>
          <w:rFonts w:ascii="Bookman Old Style" w:hAnsi="Bookman Old Style"/>
        </w:rPr>
      </w:pPr>
      <w:r w:rsidRPr="00971F88">
        <w:rPr>
          <w:rFonts w:ascii="Bookman Old Style" w:hAnsi="Bookman Old Style"/>
        </w:rPr>
        <w:t> </w:t>
      </w:r>
    </w:p>
    <w:p w14:paraId="73A8E75A" w14:textId="72FD3BA4" w:rsidR="00971F88" w:rsidRPr="00971F88" w:rsidRDefault="00971F88" w:rsidP="00971F88">
      <w:pPr>
        <w:numPr>
          <w:ilvl w:val="0"/>
          <w:numId w:val="6"/>
        </w:numPr>
        <w:rPr>
          <w:rFonts w:ascii="Bookman Old Style" w:hAnsi="Bookman Old Style"/>
        </w:rPr>
      </w:pPr>
      <w:r w:rsidRPr="00971F88">
        <w:rPr>
          <w:rFonts w:ascii="Bookman Old Style" w:hAnsi="Bookman Old Style"/>
          <w:b/>
          <w:bCs/>
        </w:rPr>
        <w:t xml:space="preserve">3. We have highlighted the point for change </w:t>
      </w:r>
      <w:r w:rsidR="00A14A4F" w:rsidRPr="00971F88">
        <w:rPr>
          <w:rFonts w:ascii="Bookman Old Style" w:hAnsi="Bookman Old Style"/>
          <w:b/>
          <w:bCs/>
        </w:rPr>
        <w:t>of “</w:t>
      </w:r>
      <w:r w:rsidRPr="00971F88">
        <w:rPr>
          <w:rFonts w:ascii="Bookman Old Style" w:hAnsi="Bookman Old Style"/>
          <w:b/>
          <w:bCs/>
        </w:rPr>
        <w:t xml:space="preserve">roll back feature” in the </w:t>
      </w:r>
      <w:r w:rsidR="00A14A4F" w:rsidRPr="00971F88">
        <w:rPr>
          <w:rFonts w:ascii="Bookman Old Style" w:hAnsi="Bookman Old Style"/>
          <w:b/>
          <w:bCs/>
        </w:rPr>
        <w:t>specifications to</w:t>
      </w:r>
      <w:r w:rsidRPr="00971F88">
        <w:rPr>
          <w:rFonts w:ascii="Bookman Old Style" w:hAnsi="Bookman Old Style"/>
          <w:b/>
          <w:bCs/>
        </w:rPr>
        <w:t xml:space="preserve"> “N-1 feature” in the point.</w:t>
      </w:r>
    </w:p>
    <w:p w14:paraId="31C04D4D" w14:textId="77777777" w:rsidR="00971F88" w:rsidRPr="00971F88" w:rsidRDefault="00971F88" w:rsidP="00971F88">
      <w:pPr>
        <w:rPr>
          <w:rFonts w:ascii="Bookman Old Style" w:hAnsi="Bookman Old Style"/>
        </w:rPr>
      </w:pPr>
      <w:r w:rsidRPr="00971F88">
        <w:rPr>
          <w:rFonts w:ascii="Bookman Old Style" w:hAnsi="Bookman Old Style"/>
        </w:rPr>
        <w:t>Response:</w:t>
      </w:r>
    </w:p>
    <w:p w14:paraId="39624223" w14:textId="77E5FB82" w:rsidR="00971F88" w:rsidRPr="00971F88" w:rsidRDefault="00971F88" w:rsidP="00971F88">
      <w:pPr>
        <w:rPr>
          <w:rFonts w:ascii="Bookman Old Style" w:hAnsi="Bookman Old Style"/>
        </w:rPr>
      </w:pPr>
      <w:r w:rsidRPr="00971F88">
        <w:rPr>
          <w:rFonts w:ascii="Bookman Old Style" w:hAnsi="Bookman Old Style"/>
        </w:rPr>
        <w:t>Similar to point number one, Roll back feature is limited to some solutions but majority of EDR solutions rely on quarantine, remediation, or external backups. Vendors offering this capability will receive additional consideration, but its absence will not disqualify a solution. Therefore, roll back feature will be treated as a value-added feature rather than a strict requirement.</w:t>
      </w:r>
    </w:p>
    <w:p w14:paraId="3E4724A7" w14:textId="77777777" w:rsidR="00ED433F" w:rsidRPr="00971F88" w:rsidRDefault="00ED433F">
      <w:pPr>
        <w:rPr>
          <w:rFonts w:ascii="Bookman Old Style" w:hAnsi="Bookman Old Style"/>
        </w:rPr>
      </w:pPr>
    </w:p>
    <w:sectPr w:rsidR="00ED433F" w:rsidRPr="00971F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D5639"/>
    <w:multiLevelType w:val="multilevel"/>
    <w:tmpl w:val="09464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2305EE"/>
    <w:multiLevelType w:val="multilevel"/>
    <w:tmpl w:val="6978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707B78"/>
    <w:multiLevelType w:val="multilevel"/>
    <w:tmpl w:val="E23CA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402AB5"/>
    <w:multiLevelType w:val="multilevel"/>
    <w:tmpl w:val="13D8B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E10F59"/>
    <w:multiLevelType w:val="multilevel"/>
    <w:tmpl w:val="EE80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FB0A6F"/>
    <w:multiLevelType w:val="multilevel"/>
    <w:tmpl w:val="FDFA0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0196032">
    <w:abstractNumId w:val="1"/>
  </w:num>
  <w:num w:numId="2" w16cid:durableId="504126533">
    <w:abstractNumId w:val="0"/>
  </w:num>
  <w:num w:numId="3" w16cid:durableId="2000694074">
    <w:abstractNumId w:val="2"/>
  </w:num>
  <w:num w:numId="4" w16cid:durableId="543061182">
    <w:abstractNumId w:val="5"/>
  </w:num>
  <w:num w:numId="5" w16cid:durableId="1984310748">
    <w:abstractNumId w:val="3"/>
  </w:num>
  <w:num w:numId="6" w16cid:durableId="290284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88"/>
    <w:rsid w:val="001915FD"/>
    <w:rsid w:val="004426C2"/>
    <w:rsid w:val="008660CC"/>
    <w:rsid w:val="00971F88"/>
    <w:rsid w:val="00A14A4F"/>
    <w:rsid w:val="00BB307A"/>
    <w:rsid w:val="00C1171F"/>
    <w:rsid w:val="00ED4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45261"/>
  <w15:chartTrackingRefBased/>
  <w15:docId w15:val="{A14AC824-0AAD-45A4-A9B4-58075231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0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1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1F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1F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1F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1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link w:val="Style4Char"/>
    <w:qFormat/>
    <w:rsid w:val="008660CC"/>
    <w:pPr>
      <w:spacing w:line="300" w:lineRule="auto"/>
      <w:outlineLvl w:val="0"/>
    </w:pPr>
    <w:rPr>
      <w:rFonts w:eastAsia="Calibri"/>
      <w:lang w:val="en-US"/>
    </w:rPr>
  </w:style>
  <w:style w:type="character" w:customStyle="1" w:styleId="Style4Char">
    <w:name w:val="Style4 Char"/>
    <w:basedOn w:val="DefaultParagraphFont"/>
    <w:link w:val="Style4"/>
    <w:rsid w:val="008660CC"/>
    <w:rPr>
      <w:rFonts w:eastAsia="Calibri"/>
      <w:lang w:val="en-US"/>
    </w:rPr>
  </w:style>
  <w:style w:type="paragraph" w:customStyle="1" w:styleId="Style1">
    <w:name w:val="Style1"/>
    <w:basedOn w:val="Heading1"/>
    <w:next w:val="Heading1"/>
    <w:link w:val="Style1Char"/>
    <w:autoRedefine/>
    <w:qFormat/>
    <w:rsid w:val="008660CC"/>
    <w:pPr>
      <w:spacing w:before="240" w:after="0" w:line="276" w:lineRule="auto"/>
    </w:pPr>
    <w:rPr>
      <w:rFonts w:ascii="Calibri" w:eastAsia="Calibri" w:hAnsi="Calibri" w:cs="Times New Roman"/>
      <w:sz w:val="32"/>
      <w:szCs w:val="32"/>
    </w:rPr>
  </w:style>
  <w:style w:type="character" w:customStyle="1" w:styleId="Style1Char">
    <w:name w:val="Style1 Char"/>
    <w:basedOn w:val="DefaultParagraphFont"/>
    <w:link w:val="Style1"/>
    <w:rsid w:val="008660CC"/>
    <w:rPr>
      <w:rFonts w:ascii="Calibri" w:eastAsia="Calibri" w:hAnsi="Calibri" w:cs="Times New Roman"/>
      <w:color w:val="2F5496" w:themeColor="accent1" w:themeShade="BF"/>
      <w:sz w:val="32"/>
      <w:szCs w:val="32"/>
    </w:rPr>
  </w:style>
  <w:style w:type="character" w:customStyle="1" w:styleId="Heading1Char">
    <w:name w:val="Heading 1 Char"/>
    <w:basedOn w:val="DefaultParagraphFont"/>
    <w:link w:val="Heading1"/>
    <w:uiPriority w:val="9"/>
    <w:rsid w:val="008660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1F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1F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1F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1F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1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F88"/>
    <w:rPr>
      <w:rFonts w:eastAsiaTheme="majorEastAsia" w:cstheme="majorBidi"/>
      <w:color w:val="272727" w:themeColor="text1" w:themeTint="D8"/>
    </w:rPr>
  </w:style>
  <w:style w:type="paragraph" w:styleId="Title">
    <w:name w:val="Title"/>
    <w:basedOn w:val="Normal"/>
    <w:next w:val="Normal"/>
    <w:link w:val="TitleChar"/>
    <w:uiPriority w:val="10"/>
    <w:qFormat/>
    <w:rsid w:val="00971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F88"/>
    <w:pPr>
      <w:spacing w:before="160"/>
      <w:jc w:val="center"/>
    </w:pPr>
    <w:rPr>
      <w:i/>
      <w:iCs/>
      <w:color w:val="404040" w:themeColor="text1" w:themeTint="BF"/>
    </w:rPr>
  </w:style>
  <w:style w:type="character" w:customStyle="1" w:styleId="QuoteChar">
    <w:name w:val="Quote Char"/>
    <w:basedOn w:val="DefaultParagraphFont"/>
    <w:link w:val="Quote"/>
    <w:uiPriority w:val="29"/>
    <w:rsid w:val="00971F88"/>
    <w:rPr>
      <w:i/>
      <w:iCs/>
      <w:color w:val="404040" w:themeColor="text1" w:themeTint="BF"/>
    </w:rPr>
  </w:style>
  <w:style w:type="paragraph" w:styleId="ListParagraph">
    <w:name w:val="List Paragraph"/>
    <w:basedOn w:val="Normal"/>
    <w:uiPriority w:val="34"/>
    <w:qFormat/>
    <w:rsid w:val="00971F88"/>
    <w:pPr>
      <w:ind w:left="720"/>
      <w:contextualSpacing/>
    </w:pPr>
  </w:style>
  <w:style w:type="character" w:styleId="IntenseEmphasis">
    <w:name w:val="Intense Emphasis"/>
    <w:basedOn w:val="DefaultParagraphFont"/>
    <w:uiPriority w:val="21"/>
    <w:qFormat/>
    <w:rsid w:val="00971F88"/>
    <w:rPr>
      <w:i/>
      <w:iCs/>
      <w:color w:val="2F5496" w:themeColor="accent1" w:themeShade="BF"/>
    </w:rPr>
  </w:style>
  <w:style w:type="paragraph" w:styleId="IntenseQuote">
    <w:name w:val="Intense Quote"/>
    <w:basedOn w:val="Normal"/>
    <w:next w:val="Normal"/>
    <w:link w:val="IntenseQuoteChar"/>
    <w:uiPriority w:val="30"/>
    <w:qFormat/>
    <w:rsid w:val="00971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1F88"/>
    <w:rPr>
      <w:i/>
      <w:iCs/>
      <w:color w:val="2F5496" w:themeColor="accent1" w:themeShade="BF"/>
    </w:rPr>
  </w:style>
  <w:style w:type="character" w:styleId="IntenseReference">
    <w:name w:val="Intense Reference"/>
    <w:basedOn w:val="DefaultParagraphFont"/>
    <w:uiPriority w:val="32"/>
    <w:qFormat/>
    <w:rsid w:val="00971F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672009">
      <w:bodyDiv w:val="1"/>
      <w:marLeft w:val="0"/>
      <w:marRight w:val="0"/>
      <w:marTop w:val="0"/>
      <w:marBottom w:val="0"/>
      <w:divBdr>
        <w:top w:val="none" w:sz="0" w:space="0" w:color="auto"/>
        <w:left w:val="none" w:sz="0" w:space="0" w:color="auto"/>
        <w:bottom w:val="none" w:sz="0" w:space="0" w:color="auto"/>
        <w:right w:val="none" w:sz="0" w:space="0" w:color="auto"/>
      </w:divBdr>
      <w:divsChild>
        <w:div w:id="720061961">
          <w:marLeft w:val="0"/>
          <w:marRight w:val="0"/>
          <w:marTop w:val="0"/>
          <w:marBottom w:val="0"/>
          <w:divBdr>
            <w:top w:val="none" w:sz="0" w:space="0" w:color="auto"/>
            <w:left w:val="none" w:sz="0" w:space="0" w:color="auto"/>
            <w:bottom w:val="none" w:sz="0" w:space="0" w:color="auto"/>
            <w:right w:val="none" w:sz="0" w:space="0" w:color="auto"/>
          </w:divBdr>
        </w:div>
        <w:div w:id="1642424363">
          <w:marLeft w:val="720"/>
          <w:marRight w:val="0"/>
          <w:marTop w:val="0"/>
          <w:marBottom w:val="160"/>
          <w:divBdr>
            <w:top w:val="none" w:sz="0" w:space="0" w:color="auto"/>
            <w:left w:val="none" w:sz="0" w:space="0" w:color="auto"/>
            <w:bottom w:val="none" w:sz="0" w:space="0" w:color="auto"/>
            <w:right w:val="none" w:sz="0" w:space="0" w:color="auto"/>
          </w:divBdr>
        </w:div>
        <w:div w:id="1365984198">
          <w:marLeft w:val="720"/>
          <w:marRight w:val="0"/>
          <w:marTop w:val="0"/>
          <w:marBottom w:val="160"/>
          <w:divBdr>
            <w:top w:val="none" w:sz="0" w:space="0" w:color="auto"/>
            <w:left w:val="none" w:sz="0" w:space="0" w:color="auto"/>
            <w:bottom w:val="none" w:sz="0" w:space="0" w:color="auto"/>
            <w:right w:val="none" w:sz="0" w:space="0" w:color="auto"/>
          </w:divBdr>
        </w:div>
        <w:div w:id="69355436">
          <w:marLeft w:val="0"/>
          <w:marRight w:val="0"/>
          <w:marTop w:val="0"/>
          <w:marBottom w:val="0"/>
          <w:divBdr>
            <w:top w:val="none" w:sz="0" w:space="0" w:color="auto"/>
            <w:left w:val="none" w:sz="0" w:space="0" w:color="auto"/>
            <w:bottom w:val="none" w:sz="0" w:space="0" w:color="auto"/>
            <w:right w:val="none" w:sz="0" w:space="0" w:color="auto"/>
          </w:divBdr>
        </w:div>
        <w:div w:id="1084760180">
          <w:marLeft w:val="720"/>
          <w:marRight w:val="0"/>
          <w:marTop w:val="0"/>
          <w:marBottom w:val="160"/>
          <w:divBdr>
            <w:top w:val="none" w:sz="0" w:space="0" w:color="auto"/>
            <w:left w:val="none" w:sz="0" w:space="0" w:color="auto"/>
            <w:bottom w:val="none" w:sz="0" w:space="0" w:color="auto"/>
            <w:right w:val="none" w:sz="0" w:space="0" w:color="auto"/>
          </w:divBdr>
        </w:div>
        <w:div w:id="113016692">
          <w:marLeft w:val="0"/>
          <w:marRight w:val="0"/>
          <w:marTop w:val="0"/>
          <w:marBottom w:val="0"/>
          <w:divBdr>
            <w:top w:val="none" w:sz="0" w:space="0" w:color="auto"/>
            <w:left w:val="none" w:sz="0" w:space="0" w:color="auto"/>
            <w:bottom w:val="none" w:sz="0" w:space="0" w:color="auto"/>
            <w:right w:val="none" w:sz="0" w:space="0" w:color="auto"/>
          </w:divBdr>
        </w:div>
        <w:div w:id="639966603">
          <w:marLeft w:val="0"/>
          <w:marRight w:val="0"/>
          <w:marTop w:val="0"/>
          <w:marBottom w:val="0"/>
          <w:divBdr>
            <w:top w:val="none" w:sz="0" w:space="0" w:color="auto"/>
            <w:left w:val="none" w:sz="0" w:space="0" w:color="auto"/>
            <w:bottom w:val="none" w:sz="0" w:space="0" w:color="auto"/>
            <w:right w:val="none" w:sz="0" w:space="0" w:color="auto"/>
          </w:divBdr>
        </w:div>
        <w:div w:id="1603754934">
          <w:marLeft w:val="0"/>
          <w:marRight w:val="0"/>
          <w:marTop w:val="0"/>
          <w:marBottom w:val="0"/>
          <w:divBdr>
            <w:top w:val="none" w:sz="0" w:space="0" w:color="auto"/>
            <w:left w:val="none" w:sz="0" w:space="0" w:color="auto"/>
            <w:bottom w:val="none" w:sz="0" w:space="0" w:color="auto"/>
            <w:right w:val="none" w:sz="0" w:space="0" w:color="auto"/>
          </w:divBdr>
        </w:div>
        <w:div w:id="1769814955">
          <w:marLeft w:val="0"/>
          <w:marRight w:val="0"/>
          <w:marTop w:val="0"/>
          <w:marBottom w:val="0"/>
          <w:divBdr>
            <w:top w:val="none" w:sz="0" w:space="0" w:color="auto"/>
            <w:left w:val="none" w:sz="0" w:space="0" w:color="auto"/>
            <w:bottom w:val="none" w:sz="0" w:space="0" w:color="auto"/>
            <w:right w:val="none" w:sz="0" w:space="0" w:color="auto"/>
          </w:divBdr>
        </w:div>
        <w:div w:id="740375662">
          <w:marLeft w:val="0"/>
          <w:marRight w:val="0"/>
          <w:marTop w:val="0"/>
          <w:marBottom w:val="0"/>
          <w:divBdr>
            <w:top w:val="none" w:sz="0" w:space="0" w:color="auto"/>
            <w:left w:val="none" w:sz="0" w:space="0" w:color="auto"/>
            <w:bottom w:val="none" w:sz="0" w:space="0" w:color="auto"/>
            <w:right w:val="none" w:sz="0" w:space="0" w:color="auto"/>
          </w:divBdr>
        </w:div>
        <w:div w:id="1791128918">
          <w:marLeft w:val="0"/>
          <w:marRight w:val="0"/>
          <w:marTop w:val="0"/>
          <w:marBottom w:val="0"/>
          <w:divBdr>
            <w:top w:val="none" w:sz="0" w:space="0" w:color="auto"/>
            <w:left w:val="none" w:sz="0" w:space="0" w:color="auto"/>
            <w:bottom w:val="none" w:sz="0" w:space="0" w:color="auto"/>
            <w:right w:val="none" w:sz="0" w:space="0" w:color="auto"/>
          </w:divBdr>
        </w:div>
        <w:div w:id="115833462">
          <w:marLeft w:val="0"/>
          <w:marRight w:val="0"/>
          <w:marTop w:val="0"/>
          <w:marBottom w:val="0"/>
          <w:divBdr>
            <w:top w:val="none" w:sz="0" w:space="0" w:color="auto"/>
            <w:left w:val="none" w:sz="0" w:space="0" w:color="auto"/>
            <w:bottom w:val="none" w:sz="0" w:space="0" w:color="auto"/>
            <w:right w:val="none" w:sz="0" w:space="0" w:color="auto"/>
          </w:divBdr>
        </w:div>
        <w:div w:id="869028784">
          <w:marLeft w:val="0"/>
          <w:marRight w:val="0"/>
          <w:marTop w:val="0"/>
          <w:marBottom w:val="0"/>
          <w:divBdr>
            <w:top w:val="none" w:sz="0" w:space="0" w:color="auto"/>
            <w:left w:val="none" w:sz="0" w:space="0" w:color="auto"/>
            <w:bottom w:val="none" w:sz="0" w:space="0" w:color="auto"/>
            <w:right w:val="none" w:sz="0" w:space="0" w:color="auto"/>
          </w:divBdr>
        </w:div>
        <w:div w:id="448358909">
          <w:marLeft w:val="0"/>
          <w:marRight w:val="0"/>
          <w:marTop w:val="0"/>
          <w:marBottom w:val="0"/>
          <w:divBdr>
            <w:top w:val="none" w:sz="0" w:space="0" w:color="auto"/>
            <w:left w:val="none" w:sz="0" w:space="0" w:color="auto"/>
            <w:bottom w:val="none" w:sz="0" w:space="0" w:color="auto"/>
            <w:right w:val="none" w:sz="0" w:space="0" w:color="auto"/>
          </w:divBdr>
        </w:div>
        <w:div w:id="424152046">
          <w:marLeft w:val="720"/>
          <w:marRight w:val="0"/>
          <w:marTop w:val="0"/>
          <w:marBottom w:val="160"/>
          <w:divBdr>
            <w:top w:val="none" w:sz="0" w:space="0" w:color="auto"/>
            <w:left w:val="none" w:sz="0" w:space="0" w:color="auto"/>
            <w:bottom w:val="none" w:sz="0" w:space="0" w:color="auto"/>
            <w:right w:val="none" w:sz="0" w:space="0" w:color="auto"/>
          </w:divBdr>
        </w:div>
        <w:div w:id="2052997248">
          <w:marLeft w:val="0"/>
          <w:marRight w:val="0"/>
          <w:marTop w:val="0"/>
          <w:marBottom w:val="0"/>
          <w:divBdr>
            <w:top w:val="none" w:sz="0" w:space="0" w:color="auto"/>
            <w:left w:val="none" w:sz="0" w:space="0" w:color="auto"/>
            <w:bottom w:val="none" w:sz="0" w:space="0" w:color="auto"/>
            <w:right w:val="none" w:sz="0" w:space="0" w:color="auto"/>
          </w:divBdr>
        </w:div>
        <w:div w:id="350184531">
          <w:marLeft w:val="720"/>
          <w:marRight w:val="0"/>
          <w:marTop w:val="0"/>
          <w:marBottom w:val="160"/>
          <w:divBdr>
            <w:top w:val="none" w:sz="0" w:space="0" w:color="auto"/>
            <w:left w:val="none" w:sz="0" w:space="0" w:color="auto"/>
            <w:bottom w:val="none" w:sz="0" w:space="0" w:color="auto"/>
            <w:right w:val="none" w:sz="0" w:space="0" w:color="auto"/>
          </w:divBdr>
        </w:div>
        <w:div w:id="1595237712">
          <w:marLeft w:val="720"/>
          <w:marRight w:val="0"/>
          <w:marTop w:val="0"/>
          <w:marBottom w:val="160"/>
          <w:divBdr>
            <w:top w:val="none" w:sz="0" w:space="0" w:color="auto"/>
            <w:left w:val="none" w:sz="0" w:space="0" w:color="auto"/>
            <w:bottom w:val="none" w:sz="0" w:space="0" w:color="auto"/>
            <w:right w:val="none" w:sz="0" w:space="0" w:color="auto"/>
          </w:divBdr>
        </w:div>
      </w:divsChild>
    </w:div>
    <w:div w:id="1697271939">
      <w:bodyDiv w:val="1"/>
      <w:marLeft w:val="0"/>
      <w:marRight w:val="0"/>
      <w:marTop w:val="0"/>
      <w:marBottom w:val="0"/>
      <w:divBdr>
        <w:top w:val="none" w:sz="0" w:space="0" w:color="auto"/>
        <w:left w:val="none" w:sz="0" w:space="0" w:color="auto"/>
        <w:bottom w:val="none" w:sz="0" w:space="0" w:color="auto"/>
        <w:right w:val="none" w:sz="0" w:space="0" w:color="auto"/>
      </w:divBdr>
      <w:divsChild>
        <w:div w:id="1784494263">
          <w:marLeft w:val="0"/>
          <w:marRight w:val="0"/>
          <w:marTop w:val="0"/>
          <w:marBottom w:val="0"/>
          <w:divBdr>
            <w:top w:val="none" w:sz="0" w:space="0" w:color="auto"/>
            <w:left w:val="none" w:sz="0" w:space="0" w:color="auto"/>
            <w:bottom w:val="none" w:sz="0" w:space="0" w:color="auto"/>
            <w:right w:val="none" w:sz="0" w:space="0" w:color="auto"/>
          </w:divBdr>
        </w:div>
        <w:div w:id="1554653904">
          <w:marLeft w:val="720"/>
          <w:marRight w:val="0"/>
          <w:marTop w:val="0"/>
          <w:marBottom w:val="160"/>
          <w:divBdr>
            <w:top w:val="none" w:sz="0" w:space="0" w:color="auto"/>
            <w:left w:val="none" w:sz="0" w:space="0" w:color="auto"/>
            <w:bottom w:val="none" w:sz="0" w:space="0" w:color="auto"/>
            <w:right w:val="none" w:sz="0" w:space="0" w:color="auto"/>
          </w:divBdr>
        </w:div>
        <w:div w:id="443236405">
          <w:marLeft w:val="720"/>
          <w:marRight w:val="0"/>
          <w:marTop w:val="0"/>
          <w:marBottom w:val="160"/>
          <w:divBdr>
            <w:top w:val="none" w:sz="0" w:space="0" w:color="auto"/>
            <w:left w:val="none" w:sz="0" w:space="0" w:color="auto"/>
            <w:bottom w:val="none" w:sz="0" w:space="0" w:color="auto"/>
            <w:right w:val="none" w:sz="0" w:space="0" w:color="auto"/>
          </w:divBdr>
        </w:div>
        <w:div w:id="281035996">
          <w:marLeft w:val="0"/>
          <w:marRight w:val="0"/>
          <w:marTop w:val="0"/>
          <w:marBottom w:val="0"/>
          <w:divBdr>
            <w:top w:val="none" w:sz="0" w:space="0" w:color="auto"/>
            <w:left w:val="none" w:sz="0" w:space="0" w:color="auto"/>
            <w:bottom w:val="none" w:sz="0" w:space="0" w:color="auto"/>
            <w:right w:val="none" w:sz="0" w:space="0" w:color="auto"/>
          </w:divBdr>
        </w:div>
        <w:div w:id="1167862763">
          <w:marLeft w:val="720"/>
          <w:marRight w:val="0"/>
          <w:marTop w:val="0"/>
          <w:marBottom w:val="160"/>
          <w:divBdr>
            <w:top w:val="none" w:sz="0" w:space="0" w:color="auto"/>
            <w:left w:val="none" w:sz="0" w:space="0" w:color="auto"/>
            <w:bottom w:val="none" w:sz="0" w:space="0" w:color="auto"/>
            <w:right w:val="none" w:sz="0" w:space="0" w:color="auto"/>
          </w:divBdr>
        </w:div>
        <w:div w:id="1794590301">
          <w:marLeft w:val="0"/>
          <w:marRight w:val="0"/>
          <w:marTop w:val="0"/>
          <w:marBottom w:val="0"/>
          <w:divBdr>
            <w:top w:val="none" w:sz="0" w:space="0" w:color="auto"/>
            <w:left w:val="none" w:sz="0" w:space="0" w:color="auto"/>
            <w:bottom w:val="none" w:sz="0" w:space="0" w:color="auto"/>
            <w:right w:val="none" w:sz="0" w:space="0" w:color="auto"/>
          </w:divBdr>
        </w:div>
        <w:div w:id="2022273658">
          <w:marLeft w:val="0"/>
          <w:marRight w:val="0"/>
          <w:marTop w:val="0"/>
          <w:marBottom w:val="0"/>
          <w:divBdr>
            <w:top w:val="none" w:sz="0" w:space="0" w:color="auto"/>
            <w:left w:val="none" w:sz="0" w:space="0" w:color="auto"/>
            <w:bottom w:val="none" w:sz="0" w:space="0" w:color="auto"/>
            <w:right w:val="none" w:sz="0" w:space="0" w:color="auto"/>
          </w:divBdr>
        </w:div>
        <w:div w:id="1626539762">
          <w:marLeft w:val="0"/>
          <w:marRight w:val="0"/>
          <w:marTop w:val="0"/>
          <w:marBottom w:val="0"/>
          <w:divBdr>
            <w:top w:val="none" w:sz="0" w:space="0" w:color="auto"/>
            <w:left w:val="none" w:sz="0" w:space="0" w:color="auto"/>
            <w:bottom w:val="none" w:sz="0" w:space="0" w:color="auto"/>
            <w:right w:val="none" w:sz="0" w:space="0" w:color="auto"/>
          </w:divBdr>
        </w:div>
        <w:div w:id="1986660874">
          <w:marLeft w:val="0"/>
          <w:marRight w:val="0"/>
          <w:marTop w:val="0"/>
          <w:marBottom w:val="0"/>
          <w:divBdr>
            <w:top w:val="none" w:sz="0" w:space="0" w:color="auto"/>
            <w:left w:val="none" w:sz="0" w:space="0" w:color="auto"/>
            <w:bottom w:val="none" w:sz="0" w:space="0" w:color="auto"/>
            <w:right w:val="none" w:sz="0" w:space="0" w:color="auto"/>
          </w:divBdr>
        </w:div>
        <w:div w:id="900747637">
          <w:marLeft w:val="0"/>
          <w:marRight w:val="0"/>
          <w:marTop w:val="0"/>
          <w:marBottom w:val="0"/>
          <w:divBdr>
            <w:top w:val="none" w:sz="0" w:space="0" w:color="auto"/>
            <w:left w:val="none" w:sz="0" w:space="0" w:color="auto"/>
            <w:bottom w:val="none" w:sz="0" w:space="0" w:color="auto"/>
            <w:right w:val="none" w:sz="0" w:space="0" w:color="auto"/>
          </w:divBdr>
        </w:div>
        <w:div w:id="55473687">
          <w:marLeft w:val="0"/>
          <w:marRight w:val="0"/>
          <w:marTop w:val="0"/>
          <w:marBottom w:val="0"/>
          <w:divBdr>
            <w:top w:val="none" w:sz="0" w:space="0" w:color="auto"/>
            <w:left w:val="none" w:sz="0" w:space="0" w:color="auto"/>
            <w:bottom w:val="none" w:sz="0" w:space="0" w:color="auto"/>
            <w:right w:val="none" w:sz="0" w:space="0" w:color="auto"/>
          </w:divBdr>
        </w:div>
        <w:div w:id="170950421">
          <w:marLeft w:val="0"/>
          <w:marRight w:val="0"/>
          <w:marTop w:val="0"/>
          <w:marBottom w:val="0"/>
          <w:divBdr>
            <w:top w:val="none" w:sz="0" w:space="0" w:color="auto"/>
            <w:left w:val="none" w:sz="0" w:space="0" w:color="auto"/>
            <w:bottom w:val="none" w:sz="0" w:space="0" w:color="auto"/>
            <w:right w:val="none" w:sz="0" w:space="0" w:color="auto"/>
          </w:divBdr>
        </w:div>
        <w:div w:id="1905947631">
          <w:marLeft w:val="0"/>
          <w:marRight w:val="0"/>
          <w:marTop w:val="0"/>
          <w:marBottom w:val="0"/>
          <w:divBdr>
            <w:top w:val="none" w:sz="0" w:space="0" w:color="auto"/>
            <w:left w:val="none" w:sz="0" w:space="0" w:color="auto"/>
            <w:bottom w:val="none" w:sz="0" w:space="0" w:color="auto"/>
            <w:right w:val="none" w:sz="0" w:space="0" w:color="auto"/>
          </w:divBdr>
        </w:div>
        <w:div w:id="1351876631">
          <w:marLeft w:val="0"/>
          <w:marRight w:val="0"/>
          <w:marTop w:val="0"/>
          <w:marBottom w:val="0"/>
          <w:divBdr>
            <w:top w:val="none" w:sz="0" w:space="0" w:color="auto"/>
            <w:left w:val="none" w:sz="0" w:space="0" w:color="auto"/>
            <w:bottom w:val="none" w:sz="0" w:space="0" w:color="auto"/>
            <w:right w:val="none" w:sz="0" w:space="0" w:color="auto"/>
          </w:divBdr>
        </w:div>
        <w:div w:id="809058394">
          <w:marLeft w:val="720"/>
          <w:marRight w:val="0"/>
          <w:marTop w:val="0"/>
          <w:marBottom w:val="160"/>
          <w:divBdr>
            <w:top w:val="none" w:sz="0" w:space="0" w:color="auto"/>
            <w:left w:val="none" w:sz="0" w:space="0" w:color="auto"/>
            <w:bottom w:val="none" w:sz="0" w:space="0" w:color="auto"/>
            <w:right w:val="none" w:sz="0" w:space="0" w:color="auto"/>
          </w:divBdr>
        </w:div>
        <w:div w:id="1560358144">
          <w:marLeft w:val="0"/>
          <w:marRight w:val="0"/>
          <w:marTop w:val="0"/>
          <w:marBottom w:val="0"/>
          <w:divBdr>
            <w:top w:val="none" w:sz="0" w:space="0" w:color="auto"/>
            <w:left w:val="none" w:sz="0" w:space="0" w:color="auto"/>
            <w:bottom w:val="none" w:sz="0" w:space="0" w:color="auto"/>
            <w:right w:val="none" w:sz="0" w:space="0" w:color="auto"/>
          </w:divBdr>
        </w:div>
        <w:div w:id="1875383656">
          <w:marLeft w:val="720"/>
          <w:marRight w:val="0"/>
          <w:marTop w:val="0"/>
          <w:marBottom w:val="160"/>
          <w:divBdr>
            <w:top w:val="none" w:sz="0" w:space="0" w:color="auto"/>
            <w:left w:val="none" w:sz="0" w:space="0" w:color="auto"/>
            <w:bottom w:val="none" w:sz="0" w:space="0" w:color="auto"/>
            <w:right w:val="none" w:sz="0" w:space="0" w:color="auto"/>
          </w:divBdr>
        </w:div>
        <w:div w:id="1066999019">
          <w:marLeft w:val="72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SONAM WANGCHUK</dc:creator>
  <cp:keywords/>
  <dc:description/>
  <cp:lastModifiedBy>MR. SONAM WANGCHUK</cp:lastModifiedBy>
  <cp:revision>3</cp:revision>
  <dcterms:created xsi:type="dcterms:W3CDTF">2025-04-22T04:50:00Z</dcterms:created>
  <dcterms:modified xsi:type="dcterms:W3CDTF">2025-04-22T04:51:00Z</dcterms:modified>
</cp:coreProperties>
</file>